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2438" w14:textId="48127B09" w:rsidR="00B3371B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Spoljna</w:t>
      </w:r>
      <w:r w:rsidR="00443DB5">
        <w:rPr>
          <w:rFonts w:ascii="Book Antiqua" w:hAnsi="Book Antiqua"/>
          <w:sz w:val="24"/>
          <w:szCs w:val="24"/>
        </w:rPr>
        <w:t xml:space="preserve"> i bezbjednosna</w:t>
      </w:r>
      <w:r w:rsidRPr="00770AC1">
        <w:rPr>
          <w:rFonts w:ascii="Book Antiqua" w:hAnsi="Book Antiqua"/>
          <w:sz w:val="24"/>
          <w:szCs w:val="24"/>
        </w:rPr>
        <w:t xml:space="preserve"> politika EU</w:t>
      </w:r>
    </w:p>
    <w:p w14:paraId="4E780C26" w14:textId="0BE29A88" w:rsidR="0079336D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Plan rada po sedmicama</w:t>
      </w:r>
    </w:p>
    <w:p w14:paraId="17D6084D" w14:textId="77F67F23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770AC1">
        <w:rPr>
          <w:rFonts w:ascii="Book Antiqua" w:hAnsi="Book Antiqua"/>
          <w:b/>
          <w:bCs/>
          <w:sz w:val="24"/>
          <w:szCs w:val="24"/>
        </w:rPr>
        <w:t>Literatura:</w:t>
      </w:r>
    </w:p>
    <w:p w14:paraId="61CC386F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</w:t>
      </w:r>
    </w:p>
    <w:p w14:paraId="729DE0C0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 xml:space="preserve">. Beograd: Službeni glasnik </w:t>
      </w:r>
    </w:p>
    <w:p w14:paraId="2DC40B34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Vukadinović, Radovan i Lidija Čehulić. 2011.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Politika europskih integracija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Zagreb: Ljevak</w:t>
      </w:r>
    </w:p>
    <w:p w14:paraId="54EEA1A1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Đurović, Gordana. 2012.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Evropska unija i Crna Gora: politika proširenja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. Podgorica: Ekonomski fakultet.  </w:t>
      </w:r>
    </w:p>
    <w:p w14:paraId="4678673D" w14:textId="7777777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</w:rPr>
      </w:pPr>
    </w:p>
    <w:p w14:paraId="5E2FF8E9" w14:textId="0E028D42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</w:rPr>
        <w:t>1. Ideje evropskog ujedinjenje izme</w:t>
      </w: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đu dva svjetska rata</w:t>
      </w:r>
    </w:p>
    <w:p w14:paraId="096223FF" w14:textId="77777777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14-27</w:t>
      </w:r>
    </w:p>
    <w:p w14:paraId="6502DB32" w14:textId="4C527176" w:rsidR="0079336D" w:rsidRPr="00DB6CA8" w:rsidRDefault="002E4136" w:rsidP="00DB6CA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Hoffmann, Stanley. "De Gaulle, Europe, and the Atlantic Alliance." </w:t>
      </w:r>
      <w:r w:rsidRPr="00DB6CA8">
        <w:rPr>
          <w:rFonts w:ascii="Book Antiqua" w:hAnsi="Book Antiqua"/>
          <w:i/>
          <w:iCs/>
          <w:sz w:val="24"/>
          <w:szCs w:val="24"/>
        </w:rPr>
        <w:t>International Organization</w:t>
      </w:r>
      <w:r w:rsidRPr="00DB6CA8">
        <w:rPr>
          <w:rFonts w:ascii="Book Antiqua" w:hAnsi="Book Antiqua"/>
          <w:sz w:val="24"/>
          <w:szCs w:val="24"/>
        </w:rPr>
        <w:t xml:space="preserve"> 18.1 (1964): 1-28.</w:t>
      </w:r>
    </w:p>
    <w:p w14:paraId="3426240F" w14:textId="7A0E28C1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2. Prve dvije decenije procesa evropske integracije</w:t>
      </w:r>
    </w:p>
    <w:p w14:paraId="7BF5DBDE" w14:textId="446627F5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28-81</w:t>
      </w:r>
    </w:p>
    <w:p w14:paraId="1E17C284" w14:textId="1E43DF35" w:rsidR="008C4304" w:rsidRPr="00770AC1" w:rsidRDefault="008C4304" w:rsidP="00CF11E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>. Beograd: Službeni glasnik, str. 27-80</w:t>
      </w:r>
    </w:p>
    <w:p w14:paraId="47AFD48D" w14:textId="0A1FAB28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Larres, Klaus, ed. </w:t>
      </w:r>
      <w:r w:rsidRPr="00770AC1">
        <w:rPr>
          <w:rFonts w:ascii="Book Antiqua" w:hAnsi="Book Antiqua"/>
          <w:i/>
          <w:iCs/>
          <w:sz w:val="24"/>
          <w:szCs w:val="24"/>
        </w:rPr>
        <w:t>A companion to Europe since 1945</w:t>
      </w:r>
      <w:r w:rsidRPr="00770AC1">
        <w:rPr>
          <w:rFonts w:ascii="Book Antiqua" w:hAnsi="Book Antiqua"/>
          <w:sz w:val="24"/>
          <w:szCs w:val="24"/>
        </w:rPr>
        <w:t>. Wiley-Blackwell, 2009. poglavlja 3 (str. 47-66) i 8 (151-182).</w:t>
      </w:r>
    </w:p>
    <w:p w14:paraId="1F8A20A3" w14:textId="399FEF6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3. Stvaranje „Evropske političke saradnje“</w:t>
      </w:r>
    </w:p>
    <w:p w14:paraId="45FB9D54" w14:textId="7E66194D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72-121</w:t>
      </w:r>
    </w:p>
    <w:p w14:paraId="5ED64C0A" w14:textId="3F79FD6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4. Vanjskopolitičke aktivnosti Evropske zajednice</w:t>
      </w:r>
    </w:p>
    <w:p w14:paraId="1474D274" w14:textId="5D6FE87A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101-152</w:t>
      </w:r>
    </w:p>
    <w:p w14:paraId="06DE825C" w14:textId="60CF86D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5. Spoljna politika EU tokom 90-tih godina</w:t>
      </w:r>
    </w:p>
    <w:p w14:paraId="6CB316DF" w14:textId="2CAB0200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121-166</w:t>
      </w:r>
    </w:p>
    <w:p w14:paraId="37788EF8" w14:textId="257F35BD" w:rsidR="00F95B3F" w:rsidRPr="00CC64EC" w:rsidRDefault="00F95B3F" w:rsidP="00CC64E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Gordon, Philip H. "Europe's uncommon foreign policy."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security</w:t>
      </w:r>
      <w:r w:rsidRPr="00770AC1">
        <w:rPr>
          <w:rFonts w:ascii="Book Antiqua" w:hAnsi="Book Antiqua"/>
          <w:sz w:val="24"/>
          <w:szCs w:val="24"/>
        </w:rPr>
        <w:t xml:space="preserve"> 22.3 (1998): 74-100.</w:t>
      </w:r>
    </w:p>
    <w:p w14:paraId="191F62B1" w14:textId="029FA2B6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6.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31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.0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3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.202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2</w:t>
      </w:r>
    </w:p>
    <w:p w14:paraId="594F2D7C" w14:textId="692E78C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7.  Djelovanje EU u krizama na prostoru bivše Jugoslavije</w:t>
      </w:r>
    </w:p>
    <w:p w14:paraId="36DCB99F" w14:textId="5B7721A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>Papadimitriou, Dimitris. "The EU's strategy in the post</w:t>
      </w:r>
      <w:r w:rsidRPr="00770AC1">
        <w:rPr>
          <w:rFonts w:ascii="Times New Roman" w:hAnsi="Times New Roman" w:cs="Times New Roman"/>
          <w:sz w:val="24"/>
          <w:szCs w:val="24"/>
        </w:rPr>
        <w:t>‐</w:t>
      </w:r>
      <w:r w:rsidRPr="00770AC1">
        <w:rPr>
          <w:rFonts w:ascii="Book Antiqua" w:hAnsi="Book Antiqua"/>
          <w:sz w:val="24"/>
          <w:szCs w:val="24"/>
        </w:rPr>
        <w:t xml:space="preserve">communist Balkans." </w:t>
      </w:r>
      <w:r w:rsidRPr="00770AC1">
        <w:rPr>
          <w:rFonts w:ascii="Book Antiqua" w:hAnsi="Book Antiqua"/>
          <w:i/>
          <w:iCs/>
          <w:sz w:val="24"/>
          <w:szCs w:val="24"/>
        </w:rPr>
        <w:t>Southeast European and Black Sea Studies</w:t>
      </w:r>
      <w:r w:rsidRPr="00770AC1">
        <w:rPr>
          <w:rFonts w:ascii="Book Antiqua" w:hAnsi="Book Antiqua"/>
          <w:sz w:val="24"/>
          <w:szCs w:val="24"/>
        </w:rPr>
        <w:t xml:space="preserve"> 1.3 (2001): 69-94.</w:t>
      </w:r>
    </w:p>
    <w:p w14:paraId="75764A2B" w14:textId="345FEAC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lastRenderedPageBreak/>
        <w:t>8. Zajednička odbrambena i bezbjednosna politika EU</w:t>
      </w:r>
    </w:p>
    <w:p w14:paraId="5EBE6659" w14:textId="0A2CC2FB" w:rsidR="00BE0025" w:rsidRPr="00770AC1" w:rsidRDefault="00BE0025" w:rsidP="00BE0025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200-240</w:t>
      </w:r>
    </w:p>
    <w:p w14:paraId="39BFD1AC" w14:textId="77777777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Janjević, M. 2007. Spoljna politika Evropske unije,  str. 169-179</w:t>
      </w:r>
    </w:p>
    <w:p w14:paraId="7240C483" w14:textId="569AFBEB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Dinan, D. 2005. </w:t>
      </w:r>
      <w:r w:rsidRPr="00770AC1">
        <w:rPr>
          <w:rFonts w:ascii="Book Antiqua" w:hAnsi="Book Antiqua"/>
          <w:i/>
          <w:sz w:val="24"/>
          <w:szCs w:val="24"/>
        </w:rPr>
        <w:t>Sve bliža unija: Uvod u evropsku integraciju</w:t>
      </w:r>
      <w:r w:rsidRPr="00770AC1">
        <w:rPr>
          <w:rFonts w:ascii="Book Antiqua" w:hAnsi="Book Antiqua"/>
          <w:sz w:val="24"/>
          <w:szCs w:val="24"/>
        </w:rPr>
        <w:t>, str. 544-564</w:t>
      </w:r>
    </w:p>
    <w:p w14:paraId="6D894B23" w14:textId="5E32128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Cornish, Paul, and Geoffrey Edwards. "Beyond the EU/NATO dichotomy: the beginnings of a European strategic culture."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affairs</w:t>
      </w:r>
      <w:r w:rsidRPr="00770AC1">
        <w:rPr>
          <w:rFonts w:ascii="Book Antiqua" w:hAnsi="Book Antiqua"/>
          <w:sz w:val="24"/>
          <w:szCs w:val="24"/>
        </w:rPr>
        <w:t xml:space="preserve"> 77.3 (2001): 587-603.</w:t>
      </w:r>
    </w:p>
    <w:p w14:paraId="4C9C561B" w14:textId="4CDFF826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9. Vanjska politika EU nakon Lisabona</w:t>
      </w:r>
    </w:p>
    <w:p w14:paraId="473F9E2D" w14:textId="2DB0358E" w:rsidR="00CF11E3" w:rsidRPr="00770AC1" w:rsidRDefault="00CF11E3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Đurović, Gordana. 2012. Evropska unija i Crna Gora..., str. 169-178, 198-201</w:t>
      </w:r>
    </w:p>
    <w:p w14:paraId="4D65B6C2" w14:textId="77777777" w:rsidR="00F95B3F" w:rsidRPr="00770AC1" w:rsidRDefault="00F95B3F" w:rsidP="00CF11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Lefebvre, Maxime, and Christophe Hillion. </w:t>
      </w:r>
      <w:r w:rsidRPr="00770AC1">
        <w:rPr>
          <w:rFonts w:ascii="Book Antiqua" w:eastAsia="Times New Roman" w:hAnsi="Book Antiqua" w:cs="Times New Roman"/>
          <w:i/>
          <w:iCs/>
          <w:sz w:val="24"/>
          <w:szCs w:val="24"/>
          <w:lang w:eastAsia="en-GB"/>
        </w:rPr>
        <w:t xml:space="preserve">The European External Action Service: towards a common </w:t>
      </w:r>
      <w:proofErr w:type="gramStart"/>
      <w:r w:rsidRPr="00770AC1">
        <w:rPr>
          <w:rFonts w:ascii="Book Antiqua" w:eastAsia="Times New Roman" w:hAnsi="Book Antiqua" w:cs="Times New Roman"/>
          <w:i/>
          <w:iCs/>
          <w:sz w:val="24"/>
          <w:szCs w:val="24"/>
          <w:lang w:eastAsia="en-GB"/>
        </w:rPr>
        <w:t>diplomacy?</w:t>
      </w: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>.</w:t>
      </w:r>
      <w:proofErr w:type="gramEnd"/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 Vol. 6. Swedish Institute for European Policy Studies, 2010.</w:t>
      </w:r>
    </w:p>
    <w:p w14:paraId="2E324DA5" w14:textId="77777777" w:rsidR="00F95B3F" w:rsidRPr="00770AC1" w:rsidRDefault="00F95B3F" w:rsidP="00CF11E3">
      <w:pPr>
        <w:jc w:val="both"/>
        <w:rPr>
          <w:rFonts w:ascii="Book Antiqua" w:hAnsi="Book Antiqua"/>
          <w:sz w:val="24"/>
          <w:szCs w:val="24"/>
          <w:lang w:val="sr-Latn-ME"/>
        </w:rPr>
      </w:pPr>
    </w:p>
    <w:p w14:paraId="3E8F84B8" w14:textId="13EE4A4B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10. Odnosi EU i SAD</w:t>
      </w:r>
    </w:p>
    <w:p w14:paraId="37A4D891" w14:textId="60AD941A" w:rsidR="00BE0025" w:rsidRPr="00770AC1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 299-319</w:t>
      </w:r>
    </w:p>
    <w:p w14:paraId="09253D5B" w14:textId="5150AEF2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11. Odnosi E</w:t>
      </w:r>
      <w:r w:rsidR="00CF11E3" w:rsidRPr="00C7490C">
        <w:rPr>
          <w:rFonts w:ascii="Book Antiqua" w:hAnsi="Book Antiqua"/>
          <w:sz w:val="24"/>
          <w:szCs w:val="24"/>
          <w:u w:val="single"/>
          <w:lang w:val="sr-Latn-ME"/>
        </w:rPr>
        <w:t>U</w:t>
      </w: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 xml:space="preserve"> i Rusija</w:t>
      </w:r>
    </w:p>
    <w:p w14:paraId="1F546357" w14:textId="785FF2B0" w:rsidR="00597362" w:rsidRPr="00770AC1" w:rsidRDefault="00597362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3</w:t>
      </w:r>
      <w:r w:rsidR="00BE0025" w:rsidRPr="00770AC1">
        <w:rPr>
          <w:rFonts w:ascii="Book Antiqua" w:hAnsi="Book Antiqua"/>
          <w:sz w:val="24"/>
          <w:szCs w:val="24"/>
        </w:rPr>
        <w:t>19</w:t>
      </w:r>
      <w:r w:rsidRPr="00770AC1">
        <w:rPr>
          <w:rFonts w:ascii="Book Antiqua" w:hAnsi="Book Antiqua"/>
          <w:sz w:val="24"/>
          <w:szCs w:val="24"/>
        </w:rPr>
        <w:t>-3</w:t>
      </w:r>
      <w:r w:rsidR="00BE0025" w:rsidRPr="00770AC1">
        <w:rPr>
          <w:rFonts w:ascii="Book Antiqua" w:hAnsi="Book Antiqua"/>
          <w:sz w:val="24"/>
          <w:szCs w:val="24"/>
        </w:rPr>
        <w:t>43</w:t>
      </w:r>
    </w:p>
    <w:p w14:paraId="406B0ADE" w14:textId="146BAF49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12.  Popravni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12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.05.202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2</w:t>
      </w:r>
    </w:p>
    <w:p w14:paraId="669E3AF9" w14:textId="521BA058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13. EU i regionalna saradnja</w:t>
      </w:r>
    </w:p>
    <w:p w14:paraId="08E334E7" w14:textId="0FDD2AAC" w:rsidR="00BE0025" w:rsidRPr="00C7490C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bookmarkStart w:id="0" w:name="_Hlk32305907"/>
      <w:bookmarkStart w:id="1" w:name="_Hlk32270506"/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 xml:space="preserve">, str. </w:t>
      </w:r>
      <w:bookmarkEnd w:id="0"/>
      <w:r w:rsidRPr="00770AC1">
        <w:rPr>
          <w:rFonts w:ascii="Book Antiqua" w:hAnsi="Book Antiqua"/>
          <w:sz w:val="24"/>
          <w:szCs w:val="24"/>
        </w:rPr>
        <w:t>343-360</w:t>
      </w:r>
      <w:bookmarkEnd w:id="1"/>
    </w:p>
    <w:p w14:paraId="721502C1" w14:textId="2F66DFD7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14. Trajna strukturirana saradnja na planu odbrane (PESCO)</w:t>
      </w:r>
    </w:p>
    <w:p w14:paraId="18A6013E" w14:textId="4A0375FD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15. EU i Crna Gora</w:t>
      </w:r>
    </w:p>
    <w:p w14:paraId="01D256E3" w14:textId="1B2E834D" w:rsidR="00CF11E3" w:rsidRPr="00770AC1" w:rsidRDefault="00CF11E3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  <w:lang w:val="sr-Latn-ME"/>
        </w:rPr>
        <w:t>EU Progres report on Montenegro 2018. str. 1-40</w:t>
      </w:r>
    </w:p>
    <w:sectPr w:rsidR="00CF11E3" w:rsidRPr="0077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0348"/>
    <w:multiLevelType w:val="hybridMultilevel"/>
    <w:tmpl w:val="1728ABD4"/>
    <w:lvl w:ilvl="0" w:tplc="A1F82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AD2"/>
    <w:multiLevelType w:val="hybridMultilevel"/>
    <w:tmpl w:val="26108B48"/>
    <w:lvl w:ilvl="0" w:tplc="9D0EB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6DE0"/>
    <w:multiLevelType w:val="hybridMultilevel"/>
    <w:tmpl w:val="D3EE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5C"/>
    <w:rsid w:val="00022E7E"/>
    <w:rsid w:val="000D535F"/>
    <w:rsid w:val="00164796"/>
    <w:rsid w:val="002E4136"/>
    <w:rsid w:val="00443DB5"/>
    <w:rsid w:val="00597362"/>
    <w:rsid w:val="00770AC1"/>
    <w:rsid w:val="0079336D"/>
    <w:rsid w:val="008C4304"/>
    <w:rsid w:val="009E385C"/>
    <w:rsid w:val="00BE0025"/>
    <w:rsid w:val="00C731A1"/>
    <w:rsid w:val="00C7490C"/>
    <w:rsid w:val="00CC64EC"/>
    <w:rsid w:val="00CF11E3"/>
    <w:rsid w:val="00DB6CA8"/>
    <w:rsid w:val="00DD11B7"/>
    <w:rsid w:val="00DE057C"/>
    <w:rsid w:val="00EA1FA8"/>
    <w:rsid w:val="00F95B3F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D07B"/>
  <w15:chartTrackingRefBased/>
  <w15:docId w15:val="{EA69E05C-F06B-4949-B005-29DCFCD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9336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79336D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79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14</cp:revision>
  <dcterms:created xsi:type="dcterms:W3CDTF">2020-02-10T21:54:00Z</dcterms:created>
  <dcterms:modified xsi:type="dcterms:W3CDTF">2022-02-17T08:49:00Z</dcterms:modified>
</cp:coreProperties>
</file>